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FFFFFF"/>
        <w:tblCellMar>
          <w:left w:w="15" w:type="dxa"/>
          <w:right w:w="15" w:type="dxa"/>
        </w:tblCellMar>
        <w:tblLook w:val="04A0" w:firstRow="1" w:lastRow="0" w:firstColumn="1" w:lastColumn="0" w:noHBand="0" w:noVBand="1"/>
      </w:tblPr>
      <w:tblGrid>
        <w:gridCol w:w="1466"/>
        <w:gridCol w:w="6096"/>
      </w:tblGrid>
      <w:tr w:rsidR="006A7477" w:rsidRPr="006A7477" w:rsidTr="006A7477">
        <w:trPr>
          <w:cantSplit/>
          <w:trHeight w:val="20"/>
        </w:trPr>
        <w:tc>
          <w:tcPr>
            <w:tcW w:w="1466" w:type="dxa"/>
            <w:tcBorders>
              <w:top w:val="nil"/>
              <w:left w:val="nil"/>
              <w:bottom w:val="dotted" w:sz="6" w:space="0" w:color="CCCCCC"/>
              <w:right w:val="nil"/>
            </w:tcBorders>
            <w:shd w:val="clear" w:color="auto" w:fill="F5F5F5"/>
            <w:noWrap/>
            <w:tcMar>
              <w:top w:w="120" w:type="dxa"/>
              <w:left w:w="48" w:type="dxa"/>
              <w:bottom w:w="120" w:type="dxa"/>
              <w:right w:w="48" w:type="dxa"/>
            </w:tcMar>
            <w:hideMark/>
          </w:tcPr>
          <w:p w:rsidR="006A7477" w:rsidRPr="006A7477" w:rsidRDefault="006A7477" w:rsidP="006A7477">
            <w:pPr>
              <w:widowControl/>
              <w:spacing w:line="0" w:lineRule="atLeast"/>
              <w:jc w:val="right"/>
              <w:rPr>
                <w:rFonts w:ascii="細明體" w:eastAsia="細明體" w:hAnsi="細明體" w:cs="新細明體"/>
                <w:color w:val="000000"/>
                <w:kern w:val="0"/>
                <w:szCs w:val="24"/>
              </w:rPr>
            </w:pPr>
            <w:r w:rsidRPr="006A7477">
              <w:rPr>
                <w:rFonts w:ascii="細明體" w:eastAsia="細明體" w:hAnsi="細明體" w:cs="新細明體" w:hint="eastAsia"/>
                <w:color w:val="000000"/>
                <w:kern w:val="0"/>
                <w:szCs w:val="24"/>
              </w:rPr>
              <w:t>法規名稱：</w:t>
            </w:r>
          </w:p>
        </w:tc>
        <w:tc>
          <w:tcPr>
            <w:tcW w:w="0" w:type="auto"/>
            <w:tcBorders>
              <w:top w:val="nil"/>
              <w:left w:val="nil"/>
              <w:bottom w:val="dotted" w:sz="6" w:space="0" w:color="CCCCCC"/>
              <w:right w:val="nil"/>
            </w:tcBorders>
            <w:shd w:val="clear" w:color="auto" w:fill="FFFFFF"/>
            <w:tcMar>
              <w:top w:w="120" w:type="dxa"/>
              <w:left w:w="48" w:type="dxa"/>
              <w:bottom w:w="120" w:type="dxa"/>
              <w:right w:w="48" w:type="dxa"/>
            </w:tcMar>
            <w:hideMark/>
          </w:tcPr>
          <w:p w:rsidR="006A7477" w:rsidRPr="006A7477" w:rsidRDefault="006A7477" w:rsidP="006A7477">
            <w:pPr>
              <w:widowControl/>
              <w:spacing w:line="0" w:lineRule="atLeast"/>
              <w:rPr>
                <w:rFonts w:ascii="細明體" w:eastAsia="細明體" w:hAnsi="細明體" w:cs="新細明體" w:hint="eastAsia"/>
                <w:color w:val="000000"/>
                <w:kern w:val="0"/>
                <w:szCs w:val="24"/>
              </w:rPr>
            </w:pPr>
            <w:r w:rsidRPr="006A7477">
              <w:rPr>
                <w:rFonts w:ascii="細明體" w:eastAsia="細明體" w:hAnsi="細明體" w:cs="新細明體" w:hint="eastAsia"/>
                <w:color w:val="000000"/>
                <w:kern w:val="0"/>
                <w:szCs w:val="24"/>
              </w:rPr>
              <w:t>桃園市高級中等以下學校身心障礙學生成績評量實施原則</w:t>
            </w:r>
          </w:p>
        </w:tc>
      </w:tr>
      <w:tr w:rsidR="006A7477" w:rsidRPr="006A7477" w:rsidTr="006A7477">
        <w:trPr>
          <w:cantSplit/>
          <w:trHeight w:val="20"/>
        </w:trPr>
        <w:tc>
          <w:tcPr>
            <w:tcW w:w="1466" w:type="dxa"/>
            <w:tcBorders>
              <w:top w:val="nil"/>
              <w:left w:val="nil"/>
              <w:bottom w:val="dotted" w:sz="6" w:space="0" w:color="CCCCCC"/>
              <w:right w:val="nil"/>
            </w:tcBorders>
            <w:shd w:val="clear" w:color="auto" w:fill="F5F5F5"/>
            <w:noWrap/>
            <w:tcMar>
              <w:top w:w="120" w:type="dxa"/>
              <w:left w:w="48" w:type="dxa"/>
              <w:bottom w:w="120" w:type="dxa"/>
              <w:right w:w="48" w:type="dxa"/>
            </w:tcMar>
            <w:hideMark/>
          </w:tcPr>
          <w:p w:rsidR="006A7477" w:rsidRPr="006A7477" w:rsidRDefault="006A7477" w:rsidP="006A7477">
            <w:pPr>
              <w:widowControl/>
              <w:spacing w:line="0" w:lineRule="atLeast"/>
              <w:jc w:val="right"/>
              <w:rPr>
                <w:rFonts w:ascii="細明體" w:eastAsia="細明體" w:hAnsi="細明體" w:cs="新細明體" w:hint="eastAsia"/>
                <w:color w:val="000000"/>
                <w:kern w:val="0"/>
                <w:szCs w:val="24"/>
              </w:rPr>
            </w:pPr>
            <w:r w:rsidRPr="006A7477">
              <w:rPr>
                <w:rFonts w:ascii="細明體" w:eastAsia="細明體" w:hAnsi="細明體" w:cs="新細明體" w:hint="eastAsia"/>
                <w:color w:val="000000"/>
                <w:kern w:val="0"/>
                <w:szCs w:val="24"/>
              </w:rPr>
              <w:t>公發布日：</w:t>
            </w:r>
          </w:p>
        </w:tc>
        <w:tc>
          <w:tcPr>
            <w:tcW w:w="0" w:type="auto"/>
            <w:tcBorders>
              <w:top w:val="nil"/>
              <w:left w:val="nil"/>
              <w:bottom w:val="dotted" w:sz="6" w:space="0" w:color="CCCCCC"/>
              <w:right w:val="nil"/>
            </w:tcBorders>
            <w:shd w:val="clear" w:color="auto" w:fill="FFFFFF"/>
            <w:tcMar>
              <w:top w:w="120" w:type="dxa"/>
              <w:left w:w="48" w:type="dxa"/>
              <w:bottom w:w="120" w:type="dxa"/>
              <w:right w:w="48" w:type="dxa"/>
            </w:tcMar>
            <w:hideMark/>
          </w:tcPr>
          <w:p w:rsidR="006A7477" w:rsidRPr="006A7477" w:rsidRDefault="006A7477" w:rsidP="006A7477">
            <w:pPr>
              <w:widowControl/>
              <w:spacing w:line="0" w:lineRule="atLeast"/>
              <w:ind w:left="338" w:hangingChars="141" w:hanging="338"/>
              <w:rPr>
                <w:rFonts w:ascii="細明體" w:eastAsia="細明體" w:hAnsi="細明體" w:cs="新細明體" w:hint="eastAsia"/>
                <w:color w:val="000000"/>
                <w:kern w:val="0"/>
                <w:szCs w:val="24"/>
              </w:rPr>
            </w:pPr>
            <w:r w:rsidRPr="006A7477">
              <w:rPr>
                <w:rFonts w:ascii="細明體" w:eastAsia="細明體" w:hAnsi="細明體" w:cs="新細明體" w:hint="eastAsia"/>
                <w:color w:val="000000"/>
                <w:kern w:val="0"/>
                <w:szCs w:val="24"/>
              </w:rPr>
              <w:t>民國 104 年 05 月 28 日</w:t>
            </w:r>
          </w:p>
        </w:tc>
      </w:tr>
      <w:tr w:rsidR="006A7477" w:rsidRPr="006A7477" w:rsidTr="006A7477">
        <w:trPr>
          <w:cantSplit/>
          <w:trHeight w:val="24"/>
        </w:trPr>
        <w:tc>
          <w:tcPr>
            <w:tcW w:w="1466" w:type="dxa"/>
            <w:tcBorders>
              <w:top w:val="nil"/>
              <w:left w:val="nil"/>
              <w:bottom w:val="dotted" w:sz="6" w:space="0" w:color="CCCCCC"/>
              <w:right w:val="nil"/>
            </w:tcBorders>
            <w:shd w:val="clear" w:color="auto" w:fill="F5F5F5"/>
            <w:noWrap/>
            <w:tcMar>
              <w:top w:w="120" w:type="dxa"/>
              <w:left w:w="48" w:type="dxa"/>
              <w:bottom w:w="120" w:type="dxa"/>
              <w:right w:w="48" w:type="dxa"/>
            </w:tcMar>
            <w:hideMark/>
          </w:tcPr>
          <w:p w:rsidR="006A7477" w:rsidRPr="006A7477" w:rsidRDefault="006A7477" w:rsidP="006A7477">
            <w:pPr>
              <w:widowControl/>
              <w:spacing w:line="0" w:lineRule="atLeast"/>
              <w:jc w:val="right"/>
              <w:rPr>
                <w:rFonts w:ascii="細明體" w:eastAsia="細明體" w:hAnsi="細明體" w:cs="新細明體" w:hint="eastAsia"/>
                <w:color w:val="000000"/>
                <w:kern w:val="0"/>
                <w:szCs w:val="24"/>
              </w:rPr>
            </w:pPr>
            <w:r w:rsidRPr="006A7477">
              <w:rPr>
                <w:rFonts w:ascii="細明體" w:eastAsia="細明體" w:hAnsi="細明體" w:cs="新細明體" w:hint="eastAsia"/>
                <w:color w:val="000000"/>
                <w:kern w:val="0"/>
                <w:szCs w:val="24"/>
              </w:rPr>
              <w:t>修正日期：</w:t>
            </w:r>
          </w:p>
        </w:tc>
        <w:tc>
          <w:tcPr>
            <w:tcW w:w="0" w:type="auto"/>
            <w:tcBorders>
              <w:top w:val="nil"/>
              <w:left w:val="nil"/>
              <w:bottom w:val="dotted" w:sz="6" w:space="0" w:color="CCCCCC"/>
              <w:right w:val="nil"/>
            </w:tcBorders>
            <w:shd w:val="clear" w:color="auto" w:fill="FFFFFF"/>
            <w:tcMar>
              <w:top w:w="120" w:type="dxa"/>
              <w:left w:w="48" w:type="dxa"/>
              <w:bottom w:w="120" w:type="dxa"/>
              <w:right w:w="48" w:type="dxa"/>
            </w:tcMar>
            <w:hideMark/>
          </w:tcPr>
          <w:p w:rsidR="006A7477" w:rsidRPr="006A7477" w:rsidRDefault="006A7477" w:rsidP="006A7477">
            <w:pPr>
              <w:widowControl/>
              <w:spacing w:line="0" w:lineRule="atLeast"/>
              <w:rPr>
                <w:rFonts w:ascii="細明體" w:eastAsia="細明體" w:hAnsi="細明體" w:cs="新細明體" w:hint="eastAsia"/>
                <w:color w:val="000000"/>
                <w:kern w:val="0"/>
                <w:szCs w:val="24"/>
              </w:rPr>
            </w:pPr>
            <w:r w:rsidRPr="006A7477">
              <w:rPr>
                <w:rFonts w:ascii="細明體" w:eastAsia="細明體" w:hAnsi="細明體" w:cs="新細明體" w:hint="eastAsia"/>
                <w:color w:val="000000"/>
                <w:kern w:val="0"/>
                <w:szCs w:val="24"/>
              </w:rPr>
              <w:t>民國 107 年 07 月 13 日</w:t>
            </w:r>
          </w:p>
        </w:tc>
      </w:tr>
      <w:tr w:rsidR="006A7477" w:rsidRPr="006A7477" w:rsidTr="006A7477">
        <w:trPr>
          <w:cantSplit/>
          <w:trHeight w:val="24"/>
        </w:trPr>
        <w:tc>
          <w:tcPr>
            <w:tcW w:w="1466" w:type="dxa"/>
            <w:tcBorders>
              <w:top w:val="nil"/>
              <w:left w:val="nil"/>
              <w:bottom w:val="dotted" w:sz="6" w:space="0" w:color="CCCCCC"/>
              <w:right w:val="nil"/>
            </w:tcBorders>
            <w:shd w:val="clear" w:color="auto" w:fill="F5F5F5"/>
            <w:noWrap/>
            <w:tcMar>
              <w:top w:w="120" w:type="dxa"/>
              <w:left w:w="48" w:type="dxa"/>
              <w:bottom w:w="120" w:type="dxa"/>
              <w:right w:w="48" w:type="dxa"/>
            </w:tcMar>
            <w:hideMark/>
          </w:tcPr>
          <w:p w:rsidR="006A7477" w:rsidRPr="006A7477" w:rsidRDefault="006A7477" w:rsidP="006A7477">
            <w:pPr>
              <w:widowControl/>
              <w:spacing w:line="0" w:lineRule="atLeast"/>
              <w:jc w:val="right"/>
              <w:rPr>
                <w:rFonts w:ascii="細明體" w:eastAsia="細明體" w:hAnsi="細明體" w:cs="新細明體" w:hint="eastAsia"/>
                <w:color w:val="000000"/>
                <w:kern w:val="0"/>
                <w:szCs w:val="24"/>
              </w:rPr>
            </w:pPr>
            <w:r w:rsidRPr="006A7477">
              <w:rPr>
                <w:rFonts w:ascii="細明體" w:eastAsia="細明體" w:hAnsi="細明體" w:cs="新細明體" w:hint="eastAsia"/>
                <w:color w:val="000000"/>
                <w:kern w:val="0"/>
                <w:szCs w:val="24"/>
              </w:rPr>
              <w:t>發文字號：</w:t>
            </w:r>
          </w:p>
        </w:tc>
        <w:tc>
          <w:tcPr>
            <w:tcW w:w="0" w:type="auto"/>
            <w:tcBorders>
              <w:top w:val="nil"/>
              <w:left w:val="nil"/>
              <w:bottom w:val="dotted" w:sz="6" w:space="0" w:color="CCCCCC"/>
              <w:right w:val="nil"/>
            </w:tcBorders>
            <w:shd w:val="clear" w:color="auto" w:fill="FFFFFF"/>
            <w:tcMar>
              <w:top w:w="120" w:type="dxa"/>
              <w:left w:w="48" w:type="dxa"/>
              <w:bottom w:w="120" w:type="dxa"/>
              <w:right w:w="48" w:type="dxa"/>
            </w:tcMar>
            <w:hideMark/>
          </w:tcPr>
          <w:p w:rsidR="006A7477" w:rsidRPr="006A7477" w:rsidRDefault="006A7477" w:rsidP="006A7477">
            <w:pPr>
              <w:widowControl/>
              <w:spacing w:line="0" w:lineRule="atLeast"/>
              <w:rPr>
                <w:rFonts w:ascii="細明體" w:eastAsia="細明體" w:hAnsi="細明體" w:cs="新細明體" w:hint="eastAsia"/>
                <w:color w:val="000000"/>
                <w:kern w:val="0"/>
                <w:szCs w:val="24"/>
              </w:rPr>
            </w:pPr>
            <w:r w:rsidRPr="006A7477">
              <w:rPr>
                <w:rFonts w:ascii="細明體" w:eastAsia="細明體" w:hAnsi="細明體" w:cs="新細明體" w:hint="eastAsia"/>
                <w:color w:val="000000"/>
                <w:kern w:val="0"/>
                <w:szCs w:val="24"/>
              </w:rPr>
              <w:t>府教特字第1070171874號 令</w:t>
            </w:r>
          </w:p>
        </w:tc>
      </w:tr>
      <w:tr w:rsidR="006A7477" w:rsidRPr="006A7477" w:rsidTr="006A7477">
        <w:trPr>
          <w:cantSplit/>
          <w:trHeight w:val="24"/>
        </w:trPr>
        <w:tc>
          <w:tcPr>
            <w:tcW w:w="1466" w:type="dxa"/>
            <w:tcBorders>
              <w:top w:val="nil"/>
              <w:left w:val="nil"/>
              <w:bottom w:val="dotted" w:sz="6" w:space="0" w:color="CCCCCC"/>
              <w:right w:val="nil"/>
            </w:tcBorders>
            <w:shd w:val="clear" w:color="auto" w:fill="F5F5F5"/>
            <w:noWrap/>
            <w:tcMar>
              <w:top w:w="120" w:type="dxa"/>
              <w:left w:w="48" w:type="dxa"/>
              <w:bottom w:w="120" w:type="dxa"/>
              <w:right w:w="48" w:type="dxa"/>
            </w:tcMar>
            <w:hideMark/>
          </w:tcPr>
          <w:p w:rsidR="006A7477" w:rsidRPr="006A7477" w:rsidRDefault="006A7477" w:rsidP="006A7477">
            <w:pPr>
              <w:widowControl/>
              <w:spacing w:line="0" w:lineRule="atLeast"/>
              <w:jc w:val="right"/>
              <w:rPr>
                <w:rFonts w:ascii="細明體" w:eastAsia="細明體" w:hAnsi="細明體" w:cs="新細明體" w:hint="eastAsia"/>
                <w:color w:val="000000"/>
                <w:kern w:val="0"/>
                <w:szCs w:val="24"/>
              </w:rPr>
            </w:pPr>
            <w:r w:rsidRPr="006A7477">
              <w:rPr>
                <w:rFonts w:ascii="細明體" w:eastAsia="細明體" w:hAnsi="細明體" w:cs="新細明體" w:hint="eastAsia"/>
                <w:color w:val="000000"/>
                <w:kern w:val="0"/>
                <w:szCs w:val="24"/>
              </w:rPr>
              <w:t>法規體系：</w:t>
            </w:r>
          </w:p>
        </w:tc>
        <w:tc>
          <w:tcPr>
            <w:tcW w:w="0" w:type="auto"/>
            <w:tcBorders>
              <w:top w:val="nil"/>
              <w:left w:val="nil"/>
              <w:bottom w:val="dotted" w:sz="6" w:space="0" w:color="CCCCCC"/>
              <w:right w:val="nil"/>
            </w:tcBorders>
            <w:shd w:val="clear" w:color="auto" w:fill="FFFFFF"/>
            <w:tcMar>
              <w:top w:w="120" w:type="dxa"/>
              <w:left w:w="48" w:type="dxa"/>
              <w:bottom w:w="120" w:type="dxa"/>
              <w:right w:w="48" w:type="dxa"/>
            </w:tcMar>
            <w:hideMark/>
          </w:tcPr>
          <w:p w:rsidR="006A7477" w:rsidRPr="006A7477" w:rsidRDefault="006A7477" w:rsidP="006A7477">
            <w:pPr>
              <w:widowControl/>
              <w:spacing w:line="0" w:lineRule="atLeast"/>
              <w:rPr>
                <w:rFonts w:ascii="細明體" w:eastAsia="細明體" w:hAnsi="細明體" w:cs="新細明體" w:hint="eastAsia"/>
                <w:color w:val="000000"/>
                <w:kern w:val="0"/>
                <w:szCs w:val="24"/>
              </w:rPr>
            </w:pPr>
            <w:r w:rsidRPr="006A7477">
              <w:rPr>
                <w:rFonts w:ascii="細明體" w:eastAsia="細明體" w:hAnsi="細明體" w:cs="新細明體" w:hint="eastAsia"/>
                <w:color w:val="000000"/>
                <w:kern w:val="0"/>
                <w:szCs w:val="24"/>
              </w:rPr>
              <w:t>桃園市法規/教育類</w:t>
            </w:r>
          </w:p>
        </w:tc>
      </w:tr>
    </w:tbl>
    <w:p w:rsidR="006A7477" w:rsidRPr="006A7477" w:rsidRDefault="006A7477" w:rsidP="006A7477">
      <w:pPr>
        <w:widowControl/>
        <w:shd w:val="clear" w:color="auto" w:fill="FFFFFF"/>
        <w:rPr>
          <w:rFonts w:ascii="細明體" w:eastAsia="細明體" w:hAnsi="細明體" w:cs="新細明體"/>
          <w:vanish/>
          <w:color w:val="000000"/>
          <w:kern w:val="0"/>
          <w:sz w:val="27"/>
          <w:szCs w:val="27"/>
        </w:rPr>
      </w:pPr>
    </w:p>
    <w:tbl>
      <w:tblPr>
        <w:tblW w:w="10800" w:type="dxa"/>
        <w:tblCellMar>
          <w:top w:w="15" w:type="dxa"/>
          <w:left w:w="15" w:type="dxa"/>
          <w:bottom w:w="15" w:type="dxa"/>
          <w:right w:w="15" w:type="dxa"/>
        </w:tblCellMar>
        <w:tblLook w:val="04A0" w:firstRow="1" w:lastRow="0" w:firstColumn="1" w:lastColumn="0" w:noHBand="0" w:noVBand="1"/>
      </w:tblPr>
      <w:tblGrid>
        <w:gridCol w:w="128"/>
        <w:gridCol w:w="10672"/>
      </w:tblGrid>
      <w:tr w:rsidR="006A7477" w:rsidRPr="006A7477" w:rsidTr="006A7477">
        <w:tc>
          <w:tcPr>
            <w:tcW w:w="0" w:type="auto"/>
            <w:tcBorders>
              <w:top w:val="nil"/>
              <w:bottom w:val="dotted" w:sz="6" w:space="0" w:color="D5D5D5"/>
            </w:tcBorders>
            <w:noWrap/>
            <w:tcMar>
              <w:top w:w="120" w:type="dxa"/>
              <w:left w:w="48" w:type="dxa"/>
              <w:bottom w:w="120" w:type="dxa"/>
              <w:right w:w="48" w:type="dxa"/>
            </w:tcMar>
            <w:hideMark/>
          </w:tcPr>
          <w:p w:rsidR="006A7477" w:rsidRPr="006A7477" w:rsidRDefault="006A7477" w:rsidP="006A7477">
            <w:pPr>
              <w:widowControl/>
              <w:rPr>
                <w:rFonts w:ascii="新細明體" w:hAnsi="新細明體" w:cs="新細明體" w:hint="eastAsia"/>
                <w:kern w:val="0"/>
                <w:szCs w:val="24"/>
              </w:rPr>
            </w:pPr>
          </w:p>
        </w:tc>
        <w:tc>
          <w:tcPr>
            <w:tcW w:w="0" w:type="auto"/>
            <w:tcBorders>
              <w:top w:val="nil"/>
              <w:bottom w:val="dotted" w:sz="6" w:space="0" w:color="D5D5D5"/>
            </w:tcBorders>
            <w:tcMar>
              <w:top w:w="120" w:type="dxa"/>
              <w:left w:w="48" w:type="dxa"/>
              <w:bottom w:w="120" w:type="dxa"/>
              <w:right w:w="48" w:type="dxa"/>
            </w:tcMar>
            <w:hideMark/>
          </w:tcPr>
          <w:p w:rsidR="006A7477" w:rsidRPr="006A7477" w:rsidRDefault="006A7477" w:rsidP="006A7477">
            <w:pPr>
              <w:widowControl/>
              <w:spacing w:line="408" w:lineRule="atLeast"/>
              <w:rPr>
                <w:rFonts w:ascii="細明體" w:eastAsia="細明體" w:hAnsi="細明體" w:cs="新細明體"/>
                <w:kern w:val="0"/>
                <w:szCs w:val="24"/>
              </w:rPr>
            </w:pPr>
            <w:r w:rsidRPr="006A7477">
              <w:rPr>
                <w:rFonts w:ascii="細明體" w:eastAsia="細明體" w:hAnsi="細明體" w:cs="新細明體" w:hint="eastAsia"/>
                <w:kern w:val="0"/>
                <w:szCs w:val="24"/>
              </w:rPr>
              <w:t>一、本原則依特殊教育課程教材教法及評量方式實施辦法第十一條規定訂</w:t>
            </w:r>
            <w:r w:rsidRPr="006A7477">
              <w:rPr>
                <w:rFonts w:ascii="細明體" w:eastAsia="細明體" w:hAnsi="細明體" w:cs="新細明體" w:hint="eastAsia"/>
                <w:kern w:val="0"/>
                <w:szCs w:val="24"/>
              </w:rPr>
              <w:t>定之。</w:t>
            </w:r>
            <w:bookmarkStart w:id="0" w:name="_GoBack"/>
            <w:bookmarkEnd w:id="0"/>
          </w:p>
        </w:tc>
      </w:tr>
      <w:tr w:rsidR="006A7477" w:rsidRPr="006A7477" w:rsidTr="006A7477">
        <w:tc>
          <w:tcPr>
            <w:tcW w:w="0" w:type="auto"/>
            <w:tcBorders>
              <w:top w:val="nil"/>
              <w:bottom w:val="dotted" w:sz="6" w:space="0" w:color="D5D5D5"/>
            </w:tcBorders>
            <w:noWrap/>
            <w:tcMar>
              <w:top w:w="120" w:type="dxa"/>
              <w:left w:w="48" w:type="dxa"/>
              <w:bottom w:w="120" w:type="dxa"/>
              <w:right w:w="48" w:type="dxa"/>
            </w:tcMar>
            <w:hideMark/>
          </w:tcPr>
          <w:p w:rsidR="006A7477" w:rsidRPr="006A7477" w:rsidRDefault="006A7477" w:rsidP="006A7477">
            <w:pPr>
              <w:widowControl/>
              <w:spacing w:line="408" w:lineRule="atLeast"/>
              <w:rPr>
                <w:rFonts w:ascii="細明體" w:eastAsia="細明體" w:hAnsi="細明體" w:cs="新細明體" w:hint="eastAsia"/>
                <w:kern w:val="0"/>
                <w:szCs w:val="24"/>
              </w:rPr>
            </w:pPr>
          </w:p>
        </w:tc>
        <w:tc>
          <w:tcPr>
            <w:tcW w:w="0" w:type="auto"/>
            <w:tcBorders>
              <w:top w:val="nil"/>
              <w:bottom w:val="dotted" w:sz="6" w:space="0" w:color="D5D5D5"/>
            </w:tcBorders>
            <w:tcMar>
              <w:top w:w="120" w:type="dxa"/>
              <w:left w:w="48" w:type="dxa"/>
              <w:bottom w:w="120" w:type="dxa"/>
              <w:right w:w="48" w:type="dxa"/>
            </w:tcMar>
            <w:hideMark/>
          </w:tcPr>
          <w:p w:rsidR="006A7477" w:rsidRPr="006A7477" w:rsidRDefault="006A7477" w:rsidP="006A7477">
            <w:pPr>
              <w:widowControl/>
              <w:spacing w:line="408" w:lineRule="atLeast"/>
              <w:rPr>
                <w:rFonts w:ascii="細明體" w:eastAsia="細明體" w:hAnsi="細明體" w:cs="新細明體"/>
                <w:kern w:val="0"/>
                <w:szCs w:val="24"/>
              </w:rPr>
            </w:pPr>
            <w:r w:rsidRPr="006A7477">
              <w:rPr>
                <w:rFonts w:ascii="細明體" w:eastAsia="細明體" w:hAnsi="細明體" w:cs="新細明體" w:hint="eastAsia"/>
                <w:kern w:val="0"/>
                <w:szCs w:val="24"/>
              </w:rPr>
              <w:t>二、本原則適用對象為就讀本市高級中等以下學校（以下簡稱學校），經</w:t>
            </w:r>
            <w:r w:rsidRPr="006A7477">
              <w:rPr>
                <w:rFonts w:ascii="細明體" w:eastAsia="細明體" w:hAnsi="細明體" w:cs="新細明體" w:hint="eastAsia"/>
                <w:kern w:val="0"/>
                <w:szCs w:val="24"/>
              </w:rPr>
              <w:br/>
              <w:t>    桃園市特殊教育學生鑑定及就學輔導會鑑定為身心障礙之學生。</w:t>
            </w:r>
          </w:p>
        </w:tc>
      </w:tr>
      <w:tr w:rsidR="006A7477" w:rsidRPr="006A7477" w:rsidTr="006A7477">
        <w:tc>
          <w:tcPr>
            <w:tcW w:w="0" w:type="auto"/>
            <w:tcBorders>
              <w:top w:val="nil"/>
              <w:bottom w:val="dotted" w:sz="6" w:space="0" w:color="D5D5D5"/>
            </w:tcBorders>
            <w:noWrap/>
            <w:tcMar>
              <w:top w:w="120" w:type="dxa"/>
              <w:left w:w="48" w:type="dxa"/>
              <w:bottom w:w="120" w:type="dxa"/>
              <w:right w:w="48" w:type="dxa"/>
            </w:tcMar>
            <w:hideMark/>
          </w:tcPr>
          <w:p w:rsidR="006A7477" w:rsidRPr="006A7477" w:rsidRDefault="006A7477" w:rsidP="006A7477">
            <w:pPr>
              <w:widowControl/>
              <w:spacing w:line="408" w:lineRule="atLeast"/>
              <w:rPr>
                <w:rFonts w:ascii="細明體" w:eastAsia="細明體" w:hAnsi="細明體" w:cs="新細明體" w:hint="eastAsia"/>
                <w:kern w:val="0"/>
                <w:szCs w:val="24"/>
              </w:rPr>
            </w:pPr>
          </w:p>
        </w:tc>
        <w:tc>
          <w:tcPr>
            <w:tcW w:w="0" w:type="auto"/>
            <w:tcBorders>
              <w:top w:val="nil"/>
              <w:bottom w:val="dotted" w:sz="6" w:space="0" w:color="D5D5D5"/>
            </w:tcBorders>
            <w:tcMar>
              <w:top w:w="120" w:type="dxa"/>
              <w:left w:w="48" w:type="dxa"/>
              <w:bottom w:w="120" w:type="dxa"/>
              <w:right w:w="48" w:type="dxa"/>
            </w:tcMar>
            <w:hideMark/>
          </w:tcPr>
          <w:p w:rsidR="006A7477" w:rsidRPr="006A7477" w:rsidRDefault="006A7477" w:rsidP="006A7477">
            <w:pPr>
              <w:widowControl/>
              <w:spacing w:line="408" w:lineRule="atLeast"/>
              <w:rPr>
                <w:rFonts w:ascii="細明體" w:eastAsia="細明體" w:hAnsi="細明體" w:cs="新細明體"/>
                <w:kern w:val="0"/>
                <w:szCs w:val="24"/>
              </w:rPr>
            </w:pPr>
            <w:r w:rsidRPr="006A7477">
              <w:rPr>
                <w:rFonts w:ascii="細明體" w:eastAsia="細明體" w:hAnsi="細明體" w:cs="新細明體" w:hint="eastAsia"/>
                <w:kern w:val="0"/>
                <w:szCs w:val="24"/>
              </w:rPr>
              <w:t>三、身心障礙學生成績評量應依個別學生之身心特性及需求彈性調整，且</w:t>
            </w:r>
            <w:r w:rsidRPr="006A7477">
              <w:rPr>
                <w:rFonts w:ascii="細明體" w:eastAsia="細明體" w:hAnsi="細明體" w:cs="新細明體" w:hint="eastAsia"/>
                <w:kern w:val="0"/>
                <w:szCs w:val="24"/>
              </w:rPr>
              <w:br/>
              <w:t>    學校應考量科目或領域性質、教學目標與內容、學生學習優勢及特殊</w:t>
            </w:r>
            <w:r w:rsidRPr="006A7477">
              <w:rPr>
                <w:rFonts w:ascii="細明體" w:eastAsia="細明體" w:hAnsi="細明體" w:cs="新細明體" w:hint="eastAsia"/>
                <w:kern w:val="0"/>
                <w:szCs w:val="24"/>
              </w:rPr>
              <w:br/>
              <w:t>    教育需求實施多元評量。</w:t>
            </w:r>
          </w:p>
        </w:tc>
      </w:tr>
      <w:tr w:rsidR="006A7477" w:rsidRPr="006A7477" w:rsidTr="006A7477">
        <w:tc>
          <w:tcPr>
            <w:tcW w:w="0" w:type="auto"/>
            <w:tcBorders>
              <w:top w:val="nil"/>
              <w:bottom w:val="dotted" w:sz="6" w:space="0" w:color="D5D5D5"/>
            </w:tcBorders>
            <w:noWrap/>
            <w:tcMar>
              <w:top w:w="120" w:type="dxa"/>
              <w:left w:w="48" w:type="dxa"/>
              <w:bottom w:w="120" w:type="dxa"/>
              <w:right w:w="48" w:type="dxa"/>
            </w:tcMar>
            <w:hideMark/>
          </w:tcPr>
          <w:p w:rsidR="006A7477" w:rsidRPr="006A7477" w:rsidRDefault="006A7477" w:rsidP="006A7477">
            <w:pPr>
              <w:widowControl/>
              <w:spacing w:line="408" w:lineRule="atLeast"/>
              <w:rPr>
                <w:rFonts w:ascii="細明體" w:eastAsia="細明體" w:hAnsi="細明體" w:cs="新細明體" w:hint="eastAsia"/>
                <w:kern w:val="0"/>
                <w:szCs w:val="24"/>
              </w:rPr>
            </w:pPr>
          </w:p>
        </w:tc>
        <w:tc>
          <w:tcPr>
            <w:tcW w:w="0" w:type="auto"/>
            <w:tcBorders>
              <w:top w:val="nil"/>
              <w:bottom w:val="dotted" w:sz="6" w:space="0" w:color="D5D5D5"/>
            </w:tcBorders>
            <w:tcMar>
              <w:top w:w="120" w:type="dxa"/>
              <w:left w:w="48" w:type="dxa"/>
              <w:bottom w:w="120" w:type="dxa"/>
              <w:right w:w="48" w:type="dxa"/>
            </w:tcMar>
            <w:hideMark/>
          </w:tcPr>
          <w:p w:rsidR="006A7477" w:rsidRPr="006A7477" w:rsidRDefault="006A7477" w:rsidP="006A7477">
            <w:pPr>
              <w:widowControl/>
              <w:spacing w:line="408" w:lineRule="atLeast"/>
              <w:rPr>
                <w:rFonts w:ascii="細明體" w:eastAsia="細明體" w:hAnsi="細明體" w:cs="新細明體"/>
                <w:kern w:val="0"/>
                <w:szCs w:val="24"/>
              </w:rPr>
            </w:pPr>
            <w:r w:rsidRPr="006A7477">
              <w:rPr>
                <w:rFonts w:ascii="細明體" w:eastAsia="細明體" w:hAnsi="細明體" w:cs="新細明體" w:hint="eastAsia"/>
                <w:kern w:val="0"/>
                <w:szCs w:val="24"/>
              </w:rPr>
              <w:t>四、身心障礙學生成績評量之調整，應於其個別化教育計畫中載明，並經</w:t>
            </w:r>
            <w:r w:rsidRPr="006A7477">
              <w:rPr>
                <w:rFonts w:ascii="細明體" w:eastAsia="細明體" w:hAnsi="細明體" w:cs="新細明體" w:hint="eastAsia"/>
                <w:kern w:val="0"/>
                <w:szCs w:val="24"/>
              </w:rPr>
              <w:br/>
              <w:t>    學校特殊教育推行委員會（以下簡稱特推會）審議通過後實施，必要</w:t>
            </w:r>
            <w:r w:rsidRPr="006A7477">
              <w:rPr>
                <w:rFonts w:ascii="細明體" w:eastAsia="細明體" w:hAnsi="細明體" w:cs="新細明體" w:hint="eastAsia"/>
                <w:kern w:val="0"/>
                <w:szCs w:val="24"/>
              </w:rPr>
              <w:br/>
              <w:t xml:space="preserve">　　時應於學生成績單內註記評量彈性調整結果。</w:t>
            </w:r>
          </w:p>
        </w:tc>
      </w:tr>
      <w:tr w:rsidR="006A7477" w:rsidRPr="006A7477" w:rsidTr="006A7477">
        <w:tc>
          <w:tcPr>
            <w:tcW w:w="0" w:type="auto"/>
            <w:tcBorders>
              <w:top w:val="nil"/>
              <w:bottom w:val="dotted" w:sz="6" w:space="0" w:color="D5D5D5"/>
            </w:tcBorders>
            <w:noWrap/>
            <w:tcMar>
              <w:top w:w="120" w:type="dxa"/>
              <w:left w:w="48" w:type="dxa"/>
              <w:bottom w:w="120" w:type="dxa"/>
              <w:right w:w="48" w:type="dxa"/>
            </w:tcMar>
            <w:hideMark/>
          </w:tcPr>
          <w:p w:rsidR="006A7477" w:rsidRPr="006A7477" w:rsidRDefault="006A7477" w:rsidP="006A7477">
            <w:pPr>
              <w:widowControl/>
              <w:spacing w:line="408" w:lineRule="atLeast"/>
              <w:rPr>
                <w:rFonts w:ascii="細明體" w:eastAsia="細明體" w:hAnsi="細明體" w:cs="新細明體" w:hint="eastAsia"/>
                <w:kern w:val="0"/>
                <w:szCs w:val="24"/>
              </w:rPr>
            </w:pPr>
          </w:p>
        </w:tc>
        <w:tc>
          <w:tcPr>
            <w:tcW w:w="0" w:type="auto"/>
            <w:tcBorders>
              <w:top w:val="nil"/>
              <w:bottom w:val="dotted" w:sz="6" w:space="0" w:color="D5D5D5"/>
            </w:tcBorders>
            <w:tcMar>
              <w:top w:w="120" w:type="dxa"/>
              <w:left w:w="48" w:type="dxa"/>
              <w:bottom w:w="120" w:type="dxa"/>
              <w:right w:w="48" w:type="dxa"/>
            </w:tcMar>
            <w:hideMark/>
          </w:tcPr>
          <w:p w:rsidR="006A7477" w:rsidRPr="006A7477" w:rsidRDefault="006A7477" w:rsidP="006A7477">
            <w:pPr>
              <w:widowControl/>
              <w:spacing w:line="408" w:lineRule="atLeast"/>
              <w:rPr>
                <w:rFonts w:ascii="細明體" w:eastAsia="細明體" w:hAnsi="細明體" w:cs="新細明體"/>
                <w:kern w:val="0"/>
                <w:szCs w:val="24"/>
              </w:rPr>
            </w:pPr>
            <w:r w:rsidRPr="006A7477">
              <w:rPr>
                <w:rFonts w:ascii="細明體" w:eastAsia="細明體" w:hAnsi="細明體" w:cs="新細明體" w:hint="eastAsia"/>
                <w:kern w:val="0"/>
                <w:szCs w:val="24"/>
              </w:rPr>
              <w:t>五、身心障礙學生成績評量之實施，依下列規定辦理：</w:t>
            </w:r>
            <w:r w:rsidRPr="006A7477">
              <w:rPr>
                <w:rFonts w:ascii="細明體" w:eastAsia="細明體" w:hAnsi="細明體" w:cs="新細明體" w:hint="eastAsia"/>
                <w:kern w:val="0"/>
                <w:szCs w:val="24"/>
              </w:rPr>
              <w:br/>
              <w:t>    (一)集中式特教班學生：由特教班教師視學生能力現況，依特殊教育</w:t>
            </w:r>
            <w:r w:rsidRPr="006A7477">
              <w:rPr>
                <w:rFonts w:ascii="細明體" w:eastAsia="細明體" w:hAnsi="細明體" w:cs="新細明體" w:hint="eastAsia"/>
                <w:kern w:val="0"/>
                <w:szCs w:val="24"/>
              </w:rPr>
              <w:br/>
              <w:t>        課程綱要規定之領域內容，訂定教育目標並實施多元評量。</w:t>
            </w:r>
            <w:r w:rsidRPr="006A7477">
              <w:rPr>
                <w:rFonts w:ascii="細明體" w:eastAsia="細明體" w:hAnsi="細明體" w:cs="新細明體" w:hint="eastAsia"/>
                <w:kern w:val="0"/>
                <w:szCs w:val="24"/>
              </w:rPr>
              <w:br/>
              <w:t>    (二)普通班接受資源班或巡迴輔導服務之學生：</w:t>
            </w:r>
            <w:r w:rsidRPr="006A7477">
              <w:rPr>
                <w:rFonts w:ascii="細明體" w:eastAsia="細明體" w:hAnsi="細明體" w:cs="新細明體" w:hint="eastAsia"/>
                <w:kern w:val="0"/>
                <w:szCs w:val="24"/>
              </w:rPr>
              <w:br/>
              <w:t>         1、在資源班或巡迴輔導服務接受直接教學之學習領域，其成績</w:t>
            </w:r>
            <w:r w:rsidRPr="006A7477">
              <w:rPr>
                <w:rFonts w:ascii="細明體" w:eastAsia="細明體" w:hAnsi="細明體" w:cs="新細明體" w:hint="eastAsia"/>
                <w:kern w:val="0"/>
                <w:szCs w:val="24"/>
              </w:rPr>
              <w:br/>
              <w:t>            評量係考量個別學生之普通班平時及定期評量表現，另納入</w:t>
            </w:r>
            <w:r w:rsidRPr="006A7477">
              <w:rPr>
                <w:rFonts w:ascii="細明體" w:eastAsia="細明體" w:hAnsi="細明體" w:cs="新細明體" w:hint="eastAsia"/>
                <w:kern w:val="0"/>
                <w:szCs w:val="24"/>
              </w:rPr>
              <w:br/>
              <w:t>            資源班教師或巡迴輔導教師所提供之評量結果，並由學校特</w:t>
            </w:r>
            <w:r w:rsidRPr="006A7477">
              <w:rPr>
                <w:rFonts w:ascii="細明體" w:eastAsia="細明體" w:hAnsi="細明體" w:cs="新細明體" w:hint="eastAsia"/>
                <w:kern w:val="0"/>
                <w:szCs w:val="24"/>
              </w:rPr>
              <w:br/>
              <w:t>            推會訂定學生普通班與資源班成績或普通班與巡迴輔導成績</w:t>
            </w:r>
            <w:r w:rsidRPr="006A7477">
              <w:rPr>
                <w:rFonts w:ascii="細明體" w:eastAsia="細明體" w:hAnsi="細明體" w:cs="新細明體" w:hint="eastAsia"/>
                <w:kern w:val="0"/>
                <w:szCs w:val="24"/>
              </w:rPr>
              <w:br/>
              <w:t>            之合適比例及方式。</w:t>
            </w:r>
            <w:r w:rsidRPr="006A7477">
              <w:rPr>
                <w:rFonts w:ascii="細明體" w:eastAsia="細明體" w:hAnsi="細明體" w:cs="新細明體" w:hint="eastAsia"/>
                <w:kern w:val="0"/>
                <w:szCs w:val="24"/>
              </w:rPr>
              <w:br/>
              <w:t>         2、未在資源班或巡迴輔導服務接受直接教學之學習領域，其成</w:t>
            </w:r>
            <w:r w:rsidRPr="006A7477">
              <w:rPr>
                <w:rFonts w:ascii="細明體" w:eastAsia="細明體" w:hAnsi="細明體" w:cs="新細明體" w:hint="eastAsia"/>
                <w:kern w:val="0"/>
                <w:szCs w:val="24"/>
              </w:rPr>
              <w:br/>
              <w:t>            績評量由普通班教師視學生能力現況彈性調整之。</w:t>
            </w:r>
          </w:p>
        </w:tc>
      </w:tr>
      <w:tr w:rsidR="006A7477" w:rsidRPr="006A7477" w:rsidTr="006A7477">
        <w:tc>
          <w:tcPr>
            <w:tcW w:w="0" w:type="auto"/>
            <w:tcBorders>
              <w:top w:val="nil"/>
              <w:bottom w:val="dotted" w:sz="6" w:space="0" w:color="D5D5D5"/>
            </w:tcBorders>
            <w:noWrap/>
            <w:tcMar>
              <w:top w:w="120" w:type="dxa"/>
              <w:left w:w="48" w:type="dxa"/>
              <w:bottom w:w="120" w:type="dxa"/>
              <w:right w:w="48" w:type="dxa"/>
            </w:tcMar>
            <w:hideMark/>
          </w:tcPr>
          <w:p w:rsidR="006A7477" w:rsidRPr="006A7477" w:rsidRDefault="006A7477" w:rsidP="006A7477">
            <w:pPr>
              <w:widowControl/>
              <w:spacing w:line="408" w:lineRule="atLeast"/>
              <w:rPr>
                <w:rFonts w:ascii="細明體" w:eastAsia="細明體" w:hAnsi="細明體" w:cs="新細明體" w:hint="eastAsia"/>
                <w:kern w:val="0"/>
                <w:szCs w:val="24"/>
              </w:rPr>
            </w:pPr>
          </w:p>
        </w:tc>
        <w:tc>
          <w:tcPr>
            <w:tcW w:w="0" w:type="auto"/>
            <w:tcBorders>
              <w:top w:val="nil"/>
              <w:bottom w:val="dotted" w:sz="6" w:space="0" w:color="D5D5D5"/>
            </w:tcBorders>
            <w:tcMar>
              <w:top w:w="120" w:type="dxa"/>
              <w:left w:w="48" w:type="dxa"/>
              <w:bottom w:w="120" w:type="dxa"/>
              <w:right w:w="48" w:type="dxa"/>
            </w:tcMar>
            <w:hideMark/>
          </w:tcPr>
          <w:p w:rsidR="006A7477" w:rsidRPr="006A7477" w:rsidRDefault="006A7477" w:rsidP="006A7477">
            <w:pPr>
              <w:widowControl/>
              <w:spacing w:line="408" w:lineRule="atLeast"/>
              <w:rPr>
                <w:rFonts w:ascii="細明體" w:eastAsia="細明體" w:hAnsi="細明體" w:cs="新細明體"/>
                <w:kern w:val="0"/>
                <w:szCs w:val="24"/>
              </w:rPr>
            </w:pPr>
            <w:r w:rsidRPr="006A7477">
              <w:rPr>
                <w:rFonts w:ascii="細明體" w:eastAsia="細明體" w:hAnsi="細明體" w:cs="新細明體" w:hint="eastAsia"/>
                <w:kern w:val="0"/>
                <w:szCs w:val="24"/>
              </w:rPr>
              <w:t>六、前點第二款規定之學生，其平時評量成績採計方式如下：</w:t>
            </w:r>
            <w:r w:rsidRPr="006A7477">
              <w:rPr>
                <w:rFonts w:ascii="細明體" w:eastAsia="細明體" w:hAnsi="細明體" w:cs="新細明體" w:hint="eastAsia"/>
                <w:kern w:val="0"/>
                <w:szCs w:val="24"/>
              </w:rPr>
              <w:br/>
              <w:t>    (一)抽離式課程：</w:t>
            </w:r>
            <w:r w:rsidRPr="006A7477">
              <w:rPr>
                <w:rFonts w:ascii="細明體" w:eastAsia="細明體" w:hAnsi="細明體" w:cs="新細明體" w:hint="eastAsia"/>
                <w:kern w:val="0"/>
                <w:szCs w:val="24"/>
              </w:rPr>
              <w:br/>
              <w:t>         1、接受資源班課程：由資源班教師進行該學習領域平時成績考</w:t>
            </w:r>
            <w:r w:rsidRPr="006A7477">
              <w:rPr>
                <w:rFonts w:ascii="細明體" w:eastAsia="細明體" w:hAnsi="細明體" w:cs="新細明體" w:hint="eastAsia"/>
                <w:kern w:val="0"/>
                <w:szCs w:val="24"/>
              </w:rPr>
              <w:br/>
              <w:t>            查，並應將考查結果與原班教師商議，以做為該生該學習領</w:t>
            </w:r>
            <w:r w:rsidRPr="006A7477">
              <w:rPr>
                <w:rFonts w:ascii="細明體" w:eastAsia="細明體" w:hAnsi="細明體" w:cs="新細明體" w:hint="eastAsia"/>
                <w:kern w:val="0"/>
                <w:szCs w:val="24"/>
              </w:rPr>
              <w:br/>
              <w:t>            域之平時成績。如有爭議，以資源班教師（授課教師）評量</w:t>
            </w:r>
            <w:r w:rsidRPr="006A7477">
              <w:rPr>
                <w:rFonts w:ascii="細明體" w:eastAsia="細明體" w:hAnsi="細明體" w:cs="新細明體" w:hint="eastAsia"/>
                <w:kern w:val="0"/>
                <w:szCs w:val="24"/>
              </w:rPr>
              <w:br/>
              <w:t>            結果為主。</w:t>
            </w:r>
            <w:r w:rsidRPr="006A7477">
              <w:rPr>
                <w:rFonts w:ascii="細明體" w:eastAsia="細明體" w:hAnsi="細明體" w:cs="新細明體" w:hint="eastAsia"/>
                <w:kern w:val="0"/>
                <w:szCs w:val="24"/>
              </w:rPr>
              <w:br/>
              <w:t>         2、接受巡迴輔導課程：由巡迴輔導教師進行該學習領域平時成</w:t>
            </w:r>
            <w:r w:rsidRPr="006A7477">
              <w:rPr>
                <w:rFonts w:ascii="細明體" w:eastAsia="細明體" w:hAnsi="細明體" w:cs="新細明體" w:hint="eastAsia"/>
                <w:kern w:val="0"/>
                <w:szCs w:val="24"/>
              </w:rPr>
              <w:br/>
              <w:t>            績考查，並應將考查結果與原班教師商議，以做為該生該學</w:t>
            </w:r>
            <w:r w:rsidRPr="006A7477">
              <w:rPr>
                <w:rFonts w:ascii="細明體" w:eastAsia="細明體" w:hAnsi="細明體" w:cs="新細明體" w:hint="eastAsia"/>
                <w:kern w:val="0"/>
                <w:szCs w:val="24"/>
              </w:rPr>
              <w:br/>
              <w:t>            習領域之平時成績。</w:t>
            </w:r>
            <w:r w:rsidRPr="006A7477">
              <w:rPr>
                <w:rFonts w:ascii="細明體" w:eastAsia="細明體" w:hAnsi="細明體" w:cs="新細明體" w:hint="eastAsia"/>
                <w:kern w:val="0"/>
                <w:szCs w:val="24"/>
              </w:rPr>
              <w:br/>
            </w:r>
            <w:r w:rsidRPr="006A7477">
              <w:rPr>
                <w:rFonts w:ascii="細明體" w:eastAsia="細明體" w:hAnsi="細明體" w:cs="新細明體" w:hint="eastAsia"/>
                <w:kern w:val="0"/>
                <w:szCs w:val="24"/>
              </w:rPr>
              <w:lastRenderedPageBreak/>
              <w:t>    (二)外加式課程：由原班任課教師進行該學習領域平時成績考查，並</w:t>
            </w:r>
            <w:r w:rsidRPr="006A7477">
              <w:rPr>
                <w:rFonts w:ascii="細明體" w:eastAsia="細明體" w:hAnsi="細明體" w:cs="新細明體" w:hint="eastAsia"/>
                <w:kern w:val="0"/>
                <w:szCs w:val="24"/>
              </w:rPr>
              <w:br/>
              <w:t>        應將考查結果與資源班教師或巡迴輔導教師商議，以作為該生該</w:t>
            </w:r>
            <w:r w:rsidRPr="006A7477">
              <w:rPr>
                <w:rFonts w:ascii="細明體" w:eastAsia="細明體" w:hAnsi="細明體" w:cs="新細明體" w:hint="eastAsia"/>
                <w:kern w:val="0"/>
                <w:szCs w:val="24"/>
              </w:rPr>
              <w:br/>
              <w:t>        學習領域之平時成績。</w:t>
            </w:r>
          </w:p>
        </w:tc>
      </w:tr>
      <w:tr w:rsidR="006A7477" w:rsidRPr="006A7477" w:rsidTr="006A7477">
        <w:tc>
          <w:tcPr>
            <w:tcW w:w="0" w:type="auto"/>
            <w:tcBorders>
              <w:top w:val="nil"/>
              <w:bottom w:val="dotted" w:sz="6" w:space="0" w:color="D5D5D5"/>
            </w:tcBorders>
            <w:noWrap/>
            <w:tcMar>
              <w:top w:w="120" w:type="dxa"/>
              <w:left w:w="48" w:type="dxa"/>
              <w:bottom w:w="120" w:type="dxa"/>
              <w:right w:w="48" w:type="dxa"/>
            </w:tcMar>
            <w:hideMark/>
          </w:tcPr>
          <w:p w:rsidR="006A7477" w:rsidRPr="006A7477" w:rsidRDefault="006A7477" w:rsidP="006A7477">
            <w:pPr>
              <w:widowControl/>
              <w:spacing w:line="408" w:lineRule="atLeast"/>
              <w:rPr>
                <w:rFonts w:ascii="細明體" w:eastAsia="細明體" w:hAnsi="細明體" w:cs="新細明體" w:hint="eastAsia"/>
                <w:kern w:val="0"/>
                <w:szCs w:val="24"/>
              </w:rPr>
            </w:pPr>
          </w:p>
        </w:tc>
        <w:tc>
          <w:tcPr>
            <w:tcW w:w="0" w:type="auto"/>
            <w:tcBorders>
              <w:top w:val="nil"/>
              <w:bottom w:val="dotted" w:sz="6" w:space="0" w:color="D5D5D5"/>
            </w:tcBorders>
            <w:tcMar>
              <w:top w:w="120" w:type="dxa"/>
              <w:left w:w="48" w:type="dxa"/>
              <w:bottom w:w="120" w:type="dxa"/>
              <w:right w:w="48" w:type="dxa"/>
            </w:tcMar>
            <w:hideMark/>
          </w:tcPr>
          <w:p w:rsidR="006A7477" w:rsidRPr="006A7477" w:rsidRDefault="006A7477" w:rsidP="006A7477">
            <w:pPr>
              <w:widowControl/>
              <w:spacing w:line="408" w:lineRule="atLeast"/>
              <w:rPr>
                <w:rFonts w:ascii="細明體" w:eastAsia="細明體" w:hAnsi="細明體" w:cs="新細明體"/>
                <w:kern w:val="0"/>
                <w:szCs w:val="24"/>
              </w:rPr>
            </w:pPr>
            <w:r w:rsidRPr="006A7477">
              <w:rPr>
                <w:rFonts w:ascii="細明體" w:eastAsia="細明體" w:hAnsi="細明體" w:cs="新細明體" w:hint="eastAsia"/>
                <w:kern w:val="0"/>
                <w:szCs w:val="24"/>
              </w:rPr>
              <w:t>七、第六點第二款規定之學生，其定期評量成績採計方式如下：</w:t>
            </w:r>
            <w:r w:rsidRPr="006A7477">
              <w:rPr>
                <w:rFonts w:ascii="細明體" w:eastAsia="細明體" w:hAnsi="細明體" w:cs="新細明體" w:hint="eastAsia"/>
                <w:kern w:val="0"/>
                <w:szCs w:val="24"/>
              </w:rPr>
              <w:br/>
              <w:t>    (一)學生之定期評量應以使用原班試題為原則，必要時應提供延長考</w:t>
            </w:r>
            <w:r w:rsidRPr="006A7477">
              <w:rPr>
                <w:rFonts w:ascii="細明體" w:eastAsia="細明體" w:hAnsi="細明體" w:cs="新細明體" w:hint="eastAsia"/>
                <w:kern w:val="0"/>
                <w:szCs w:val="24"/>
              </w:rPr>
              <w:br/>
              <w:t>        試時間、口語作答、電腦作答、提供獨立考試空間、試題報讀服   </w:t>
            </w:r>
            <w:r w:rsidRPr="006A7477">
              <w:rPr>
                <w:rFonts w:ascii="細明體" w:eastAsia="細明體" w:hAnsi="細明體" w:cs="新細明體" w:hint="eastAsia"/>
                <w:kern w:val="0"/>
                <w:szCs w:val="24"/>
              </w:rPr>
              <w:br/>
              <w:t>        務、放大試卷、點字卷、提供輔具等學生所需之相關試題調整或</w:t>
            </w:r>
            <w:r w:rsidRPr="006A7477">
              <w:rPr>
                <w:rFonts w:ascii="細明體" w:eastAsia="細明體" w:hAnsi="細明體" w:cs="新細明體" w:hint="eastAsia"/>
                <w:kern w:val="0"/>
                <w:szCs w:val="24"/>
              </w:rPr>
              <w:br/>
              <w:t>        試場服務。</w:t>
            </w:r>
            <w:r w:rsidRPr="006A7477">
              <w:rPr>
                <w:rFonts w:ascii="細明體" w:eastAsia="細明體" w:hAnsi="細明體" w:cs="新細明體" w:hint="eastAsia"/>
                <w:kern w:val="0"/>
                <w:szCs w:val="24"/>
              </w:rPr>
              <w:br/>
              <w:t>    (二)學生若因障礙特質無法適用原班試題考試，可採用資源班試題或</w:t>
            </w:r>
            <w:r w:rsidRPr="006A7477">
              <w:rPr>
                <w:rFonts w:ascii="細明體" w:eastAsia="細明體" w:hAnsi="細明體" w:cs="新細明體" w:hint="eastAsia"/>
                <w:kern w:val="0"/>
                <w:szCs w:val="24"/>
              </w:rPr>
              <w:br/>
              <w:t>        多元評量方式，其原班定期評量成績應依學生能力水準及其於原</w:t>
            </w:r>
            <w:r w:rsidRPr="006A7477">
              <w:rPr>
                <w:rFonts w:ascii="細明體" w:eastAsia="細明體" w:hAnsi="細明體" w:cs="新細明體" w:hint="eastAsia"/>
                <w:kern w:val="0"/>
                <w:szCs w:val="24"/>
              </w:rPr>
              <w:br/>
              <w:t>        班之相對位置調整，並應將定期評量成績與原班教師商議；必要</w:t>
            </w:r>
            <w:r w:rsidRPr="006A7477">
              <w:rPr>
                <w:rFonts w:ascii="細明體" w:eastAsia="細明體" w:hAnsi="細明體" w:cs="新細明體" w:hint="eastAsia"/>
                <w:kern w:val="0"/>
                <w:szCs w:val="24"/>
              </w:rPr>
              <w:br/>
              <w:t>        時經學校特推會審議後得僅採資源班之定期評量成績。</w:t>
            </w:r>
          </w:p>
        </w:tc>
      </w:tr>
      <w:tr w:rsidR="006A7477" w:rsidRPr="006A7477" w:rsidTr="006A7477">
        <w:tc>
          <w:tcPr>
            <w:tcW w:w="0" w:type="auto"/>
            <w:tcBorders>
              <w:top w:val="nil"/>
              <w:bottom w:val="dotted" w:sz="6" w:space="0" w:color="D5D5D5"/>
            </w:tcBorders>
            <w:noWrap/>
            <w:tcMar>
              <w:top w:w="120" w:type="dxa"/>
              <w:left w:w="48" w:type="dxa"/>
              <w:bottom w:w="120" w:type="dxa"/>
              <w:right w:w="48" w:type="dxa"/>
            </w:tcMar>
            <w:hideMark/>
          </w:tcPr>
          <w:p w:rsidR="006A7477" w:rsidRPr="006A7477" w:rsidRDefault="006A7477" w:rsidP="006A7477">
            <w:pPr>
              <w:widowControl/>
              <w:spacing w:line="408" w:lineRule="atLeast"/>
              <w:rPr>
                <w:rFonts w:ascii="細明體" w:eastAsia="細明體" w:hAnsi="細明體" w:cs="新細明體" w:hint="eastAsia"/>
                <w:kern w:val="0"/>
                <w:szCs w:val="24"/>
              </w:rPr>
            </w:pPr>
          </w:p>
        </w:tc>
        <w:tc>
          <w:tcPr>
            <w:tcW w:w="0" w:type="auto"/>
            <w:tcBorders>
              <w:top w:val="nil"/>
              <w:bottom w:val="dotted" w:sz="6" w:space="0" w:color="D5D5D5"/>
            </w:tcBorders>
            <w:tcMar>
              <w:top w:w="120" w:type="dxa"/>
              <w:left w:w="48" w:type="dxa"/>
              <w:bottom w:w="120" w:type="dxa"/>
              <w:right w:w="48" w:type="dxa"/>
            </w:tcMar>
            <w:hideMark/>
          </w:tcPr>
          <w:p w:rsidR="006A7477" w:rsidRPr="006A7477" w:rsidRDefault="006A7477" w:rsidP="006A7477">
            <w:pPr>
              <w:widowControl/>
              <w:spacing w:line="408" w:lineRule="atLeast"/>
              <w:rPr>
                <w:rFonts w:ascii="細明體" w:eastAsia="細明體" w:hAnsi="細明體" w:cs="新細明體"/>
                <w:kern w:val="0"/>
                <w:szCs w:val="24"/>
              </w:rPr>
            </w:pPr>
            <w:r w:rsidRPr="006A7477">
              <w:rPr>
                <w:rFonts w:ascii="細明體" w:eastAsia="細明體" w:hAnsi="細明體" w:cs="新細明體" w:hint="eastAsia"/>
                <w:kern w:val="0"/>
                <w:szCs w:val="24"/>
              </w:rPr>
              <w:t>八、學校應衡酌考試科目特性、學生學習優勢管道及個別需求，提供身心</w:t>
            </w:r>
            <w:r w:rsidRPr="006A7477">
              <w:rPr>
                <w:rFonts w:ascii="細明體" w:eastAsia="細明體" w:hAnsi="細明體" w:cs="新細明體" w:hint="eastAsia"/>
                <w:kern w:val="0"/>
                <w:szCs w:val="24"/>
              </w:rPr>
              <w:br/>
              <w:t>    障礙學生適當之試場服務、輔具服務、試題（卷）調整服務、作答方</w:t>
            </w:r>
            <w:r w:rsidRPr="006A7477">
              <w:rPr>
                <w:rFonts w:ascii="細明體" w:eastAsia="細明體" w:hAnsi="細明體" w:cs="新細明體" w:hint="eastAsia"/>
                <w:kern w:val="0"/>
                <w:szCs w:val="24"/>
              </w:rPr>
              <w:br/>
              <w:t>    式調整服務及其他必要之服務，並於學生個別化教育計畫中載明。</w:t>
            </w:r>
          </w:p>
        </w:tc>
      </w:tr>
      <w:tr w:rsidR="006A7477" w:rsidRPr="006A7477" w:rsidTr="006A7477">
        <w:tc>
          <w:tcPr>
            <w:tcW w:w="0" w:type="auto"/>
            <w:tcBorders>
              <w:top w:val="nil"/>
              <w:bottom w:val="dotted" w:sz="6" w:space="0" w:color="D5D5D5"/>
            </w:tcBorders>
            <w:noWrap/>
            <w:tcMar>
              <w:top w:w="120" w:type="dxa"/>
              <w:left w:w="48" w:type="dxa"/>
              <w:bottom w:w="120" w:type="dxa"/>
              <w:right w:w="48" w:type="dxa"/>
            </w:tcMar>
            <w:hideMark/>
          </w:tcPr>
          <w:p w:rsidR="006A7477" w:rsidRPr="006A7477" w:rsidRDefault="006A7477" w:rsidP="006A7477">
            <w:pPr>
              <w:widowControl/>
              <w:spacing w:line="408" w:lineRule="atLeast"/>
              <w:rPr>
                <w:rFonts w:ascii="細明體" w:eastAsia="細明體" w:hAnsi="細明體" w:cs="新細明體" w:hint="eastAsia"/>
                <w:kern w:val="0"/>
                <w:szCs w:val="24"/>
              </w:rPr>
            </w:pPr>
          </w:p>
        </w:tc>
        <w:tc>
          <w:tcPr>
            <w:tcW w:w="0" w:type="auto"/>
            <w:tcBorders>
              <w:top w:val="nil"/>
              <w:bottom w:val="dotted" w:sz="6" w:space="0" w:color="D5D5D5"/>
            </w:tcBorders>
            <w:tcMar>
              <w:top w:w="120" w:type="dxa"/>
              <w:left w:w="48" w:type="dxa"/>
              <w:bottom w:w="120" w:type="dxa"/>
              <w:right w:w="48" w:type="dxa"/>
            </w:tcMar>
            <w:hideMark/>
          </w:tcPr>
          <w:p w:rsidR="006A7477" w:rsidRPr="006A7477" w:rsidRDefault="006A7477" w:rsidP="006A7477">
            <w:pPr>
              <w:widowControl/>
              <w:spacing w:line="408" w:lineRule="atLeast"/>
              <w:rPr>
                <w:rFonts w:ascii="細明體" w:eastAsia="細明體" w:hAnsi="細明體" w:cs="新細明體"/>
                <w:kern w:val="0"/>
                <w:szCs w:val="24"/>
              </w:rPr>
            </w:pPr>
            <w:r w:rsidRPr="006A7477">
              <w:rPr>
                <w:rFonts w:ascii="細明體" w:eastAsia="細明體" w:hAnsi="細明體" w:cs="新細明體" w:hint="eastAsia"/>
                <w:kern w:val="0"/>
                <w:szCs w:val="24"/>
              </w:rPr>
              <w:t>九、身心障礙學生考試服務之實施，依下列規定辦理：</w:t>
            </w:r>
            <w:r w:rsidRPr="006A7477">
              <w:rPr>
                <w:rFonts w:ascii="細明體" w:eastAsia="細明體" w:hAnsi="細明體" w:cs="新細明體" w:hint="eastAsia"/>
                <w:kern w:val="0"/>
                <w:szCs w:val="24"/>
              </w:rPr>
              <w:br/>
              <w:t>    (一)試場服務如下：</w:t>
            </w:r>
            <w:r w:rsidRPr="006A7477">
              <w:rPr>
                <w:rFonts w:ascii="細明體" w:eastAsia="細明體" w:hAnsi="細明體" w:cs="新細明體" w:hint="eastAsia"/>
                <w:kern w:val="0"/>
                <w:szCs w:val="24"/>
              </w:rPr>
              <w:br/>
              <w:t>         1、調整考試時間：包括提早入場或延長作答時間。</w:t>
            </w:r>
            <w:r w:rsidRPr="006A7477">
              <w:rPr>
                <w:rFonts w:ascii="細明體" w:eastAsia="細明體" w:hAnsi="細明體" w:cs="新細明體" w:hint="eastAsia"/>
                <w:kern w:val="0"/>
                <w:szCs w:val="24"/>
              </w:rPr>
              <w:br/>
              <w:t>         2、提供無障礙試場環境：包括無障礙環境、地面樓層或設有昇</w:t>
            </w:r>
            <w:r w:rsidRPr="006A7477">
              <w:rPr>
                <w:rFonts w:ascii="細明體" w:eastAsia="細明體" w:hAnsi="細明體" w:cs="新細明體" w:hint="eastAsia"/>
                <w:kern w:val="0"/>
                <w:szCs w:val="24"/>
              </w:rPr>
              <w:br/>
              <w:t>            降設備之試場。</w:t>
            </w:r>
            <w:r w:rsidRPr="006A7477">
              <w:rPr>
                <w:rFonts w:ascii="細明體" w:eastAsia="細明體" w:hAnsi="細明體" w:cs="新細明體" w:hint="eastAsia"/>
                <w:kern w:val="0"/>
                <w:szCs w:val="24"/>
              </w:rPr>
              <w:br/>
              <w:t>         3、提供提醒服務：包括視覺或聽覺提醒、手語翻譯或板書注意</w:t>
            </w:r>
            <w:r w:rsidRPr="006A7477">
              <w:rPr>
                <w:rFonts w:ascii="細明體" w:eastAsia="細明體" w:hAnsi="細明體" w:cs="新細明體" w:hint="eastAsia"/>
                <w:kern w:val="0"/>
                <w:szCs w:val="24"/>
              </w:rPr>
              <w:br/>
              <w:t>            事項說明。</w:t>
            </w:r>
            <w:r w:rsidRPr="006A7477">
              <w:rPr>
                <w:rFonts w:ascii="細明體" w:eastAsia="細明體" w:hAnsi="細明體" w:cs="新細明體" w:hint="eastAsia"/>
                <w:kern w:val="0"/>
                <w:szCs w:val="24"/>
              </w:rPr>
              <w:br/>
              <w:t>         4、提供特殊試場：包括單人、少數人或設有空調設備等試場。</w:t>
            </w:r>
            <w:r w:rsidRPr="006A7477">
              <w:rPr>
                <w:rFonts w:ascii="細明體" w:eastAsia="細明體" w:hAnsi="細明體" w:cs="新細明體" w:hint="eastAsia"/>
                <w:kern w:val="0"/>
                <w:szCs w:val="24"/>
              </w:rPr>
              <w:br/>
              <w:t>    (二)輔具服務：包括提供擴視機、放大鏡、點字機、盲用算盤、盲用</w:t>
            </w:r>
            <w:r w:rsidRPr="006A7477">
              <w:rPr>
                <w:rFonts w:ascii="細明體" w:eastAsia="細明體" w:hAnsi="細明體" w:cs="新細明體" w:hint="eastAsia"/>
                <w:kern w:val="0"/>
                <w:szCs w:val="24"/>
              </w:rPr>
              <w:br/>
              <w:t>        電腦及印表機、檯燈、特殊桌椅或其他相關輔具等服務。</w:t>
            </w:r>
            <w:r w:rsidRPr="006A7477">
              <w:rPr>
                <w:rFonts w:ascii="細明體" w:eastAsia="細明體" w:hAnsi="細明體" w:cs="新細明體" w:hint="eastAsia"/>
                <w:kern w:val="0"/>
                <w:szCs w:val="24"/>
              </w:rPr>
              <w:br/>
              <w:t>    (三)試題（卷）調整服務：包括調整試題與考生之適配性、題數或比</w:t>
            </w:r>
            <w:r w:rsidRPr="006A7477">
              <w:rPr>
                <w:rFonts w:ascii="細明體" w:eastAsia="細明體" w:hAnsi="細明體" w:cs="新細明體" w:hint="eastAsia"/>
                <w:kern w:val="0"/>
                <w:szCs w:val="24"/>
              </w:rPr>
              <w:br/>
              <w:t>        例計分、提供放大試卷、點字試卷、電子試題、有聲試題、觸摸</w:t>
            </w:r>
            <w:r w:rsidRPr="006A7477">
              <w:rPr>
                <w:rFonts w:ascii="細明體" w:eastAsia="細明體" w:hAnsi="細明體" w:cs="新細明體" w:hint="eastAsia"/>
                <w:kern w:val="0"/>
                <w:szCs w:val="24"/>
              </w:rPr>
              <w:br/>
              <w:t>        圖形試題及提供試卷並報讀等服務。調整試題與考生之適配性，</w:t>
            </w:r>
            <w:r w:rsidRPr="006A7477">
              <w:rPr>
                <w:rFonts w:ascii="細明體" w:eastAsia="細明體" w:hAnsi="細明體" w:cs="新細明體" w:hint="eastAsia"/>
                <w:kern w:val="0"/>
                <w:szCs w:val="24"/>
              </w:rPr>
              <w:br/>
              <w:t>        包括試題之信度、效度、鑑別度及命題後因應試題與身心障礙類</w:t>
            </w:r>
            <w:r w:rsidRPr="006A7477">
              <w:rPr>
                <w:rFonts w:ascii="細明體" w:eastAsia="細明體" w:hAnsi="細明體" w:cs="新細明體" w:hint="eastAsia"/>
                <w:kern w:val="0"/>
                <w:szCs w:val="24"/>
              </w:rPr>
              <w:br/>
              <w:t>        別明顯衝突時所需之調整，學校教務處應於考前一週提供試卷予</w:t>
            </w:r>
            <w:r w:rsidRPr="006A7477">
              <w:rPr>
                <w:rFonts w:ascii="細明體" w:eastAsia="細明體" w:hAnsi="細明體" w:cs="新細明體" w:hint="eastAsia"/>
                <w:kern w:val="0"/>
                <w:szCs w:val="24"/>
              </w:rPr>
              <w:br/>
              <w:t>        特教教師進行調整，特教教師於收到試卷後至考試前，應負擔保</w:t>
            </w:r>
            <w:r w:rsidRPr="006A7477">
              <w:rPr>
                <w:rFonts w:ascii="細明體" w:eastAsia="細明體" w:hAnsi="細明體" w:cs="新細明體" w:hint="eastAsia"/>
                <w:kern w:val="0"/>
                <w:szCs w:val="24"/>
              </w:rPr>
              <w:br/>
              <w:t>        密責任。</w:t>
            </w:r>
            <w:r w:rsidRPr="006A7477">
              <w:rPr>
                <w:rFonts w:ascii="細明體" w:eastAsia="細明體" w:hAnsi="細明體" w:cs="新細明體" w:hint="eastAsia"/>
                <w:kern w:val="0"/>
                <w:szCs w:val="24"/>
              </w:rPr>
              <w:br/>
              <w:t>    (四)作答方式調整服務：包括提供電腦輸入法作答、盲用電腦作答、</w:t>
            </w:r>
            <w:r w:rsidRPr="006A7477">
              <w:rPr>
                <w:rFonts w:ascii="細明體" w:eastAsia="細明體" w:hAnsi="細明體" w:cs="新細明體" w:hint="eastAsia"/>
                <w:kern w:val="0"/>
                <w:szCs w:val="24"/>
              </w:rPr>
              <w:br/>
              <w:t>        放大答案卡（卷）、電腦打字代謄、口語（錄音）作答及代謄答</w:t>
            </w:r>
            <w:r w:rsidRPr="006A7477">
              <w:rPr>
                <w:rFonts w:ascii="細明體" w:eastAsia="細明體" w:hAnsi="細明體" w:cs="新細明體" w:hint="eastAsia"/>
                <w:kern w:val="0"/>
                <w:szCs w:val="24"/>
              </w:rPr>
              <w:br/>
              <w:t>        案卡等服務。</w:t>
            </w:r>
          </w:p>
        </w:tc>
      </w:tr>
    </w:tbl>
    <w:p w:rsidR="006A7477" w:rsidRPr="006A7477" w:rsidRDefault="006A7477" w:rsidP="00F95A38">
      <w:pPr>
        <w:pStyle w:val="3"/>
        <w:spacing w:after="0" w:line="480" w:lineRule="exact"/>
        <w:ind w:leftChars="0" w:left="0"/>
        <w:rPr>
          <w:rFonts w:ascii="標楷體" w:hint="eastAsia"/>
          <w:color w:val="000000"/>
          <w:sz w:val="28"/>
          <w:szCs w:val="28"/>
        </w:rPr>
      </w:pPr>
    </w:p>
    <w:sectPr w:rsidR="006A7477" w:rsidRPr="006A7477" w:rsidSect="006A7477">
      <w:footerReference w:type="even" r:id="rId7"/>
      <w:pgSz w:w="11906" w:h="16838" w:code="9"/>
      <w:pgMar w:top="426" w:right="1418" w:bottom="284"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4F6" w:rsidRDefault="006134F6" w:rsidP="0095545D">
      <w:r>
        <w:separator/>
      </w:r>
    </w:p>
  </w:endnote>
  <w:endnote w:type="continuationSeparator" w:id="0">
    <w:p w:rsidR="006134F6" w:rsidRDefault="006134F6" w:rsidP="00955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A23" w:rsidRDefault="00655A23" w:rsidP="007A5A51">
    <w:pPr>
      <w:pStyle w:val="a7"/>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655A23" w:rsidRDefault="00655A2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4F6" w:rsidRDefault="006134F6" w:rsidP="0095545D">
      <w:r>
        <w:separator/>
      </w:r>
    </w:p>
  </w:footnote>
  <w:footnote w:type="continuationSeparator" w:id="0">
    <w:p w:rsidR="006134F6" w:rsidRDefault="006134F6" w:rsidP="009554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35449"/>
    <w:multiLevelType w:val="hybridMultilevel"/>
    <w:tmpl w:val="5DFAC4EA"/>
    <w:lvl w:ilvl="0" w:tplc="C3E600EC">
      <w:start w:val="1"/>
      <w:numFmt w:val="taiwaneseCountingThousand"/>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oNotTrackMoves/>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7151"/>
    <w:rsid w:val="00034C43"/>
    <w:rsid w:val="00095803"/>
    <w:rsid w:val="000C5062"/>
    <w:rsid w:val="000F48F7"/>
    <w:rsid w:val="00113110"/>
    <w:rsid w:val="001B5443"/>
    <w:rsid w:val="001E2308"/>
    <w:rsid w:val="001F0B31"/>
    <w:rsid w:val="0020158D"/>
    <w:rsid w:val="00290D10"/>
    <w:rsid w:val="002E5DCB"/>
    <w:rsid w:val="00301758"/>
    <w:rsid w:val="003A518A"/>
    <w:rsid w:val="003C390F"/>
    <w:rsid w:val="003F24A0"/>
    <w:rsid w:val="00410779"/>
    <w:rsid w:val="00430F6D"/>
    <w:rsid w:val="00451D28"/>
    <w:rsid w:val="00464B05"/>
    <w:rsid w:val="0047464E"/>
    <w:rsid w:val="004D1B32"/>
    <w:rsid w:val="004F4FB6"/>
    <w:rsid w:val="00501D9F"/>
    <w:rsid w:val="00611033"/>
    <w:rsid w:val="006134F6"/>
    <w:rsid w:val="00616979"/>
    <w:rsid w:val="0063033D"/>
    <w:rsid w:val="00641579"/>
    <w:rsid w:val="00655A23"/>
    <w:rsid w:val="006A7477"/>
    <w:rsid w:val="00791531"/>
    <w:rsid w:val="007A5A51"/>
    <w:rsid w:val="00804360"/>
    <w:rsid w:val="00883367"/>
    <w:rsid w:val="00886AC2"/>
    <w:rsid w:val="008A7151"/>
    <w:rsid w:val="009007D0"/>
    <w:rsid w:val="00903814"/>
    <w:rsid w:val="0095545D"/>
    <w:rsid w:val="0096056D"/>
    <w:rsid w:val="0099675F"/>
    <w:rsid w:val="009B6329"/>
    <w:rsid w:val="00A23183"/>
    <w:rsid w:val="00B162CE"/>
    <w:rsid w:val="00B37D5C"/>
    <w:rsid w:val="00B45976"/>
    <w:rsid w:val="00B57438"/>
    <w:rsid w:val="00B81691"/>
    <w:rsid w:val="00BA7D29"/>
    <w:rsid w:val="00BC0462"/>
    <w:rsid w:val="00BD7770"/>
    <w:rsid w:val="00C16C47"/>
    <w:rsid w:val="00C25B6B"/>
    <w:rsid w:val="00C44111"/>
    <w:rsid w:val="00C70650"/>
    <w:rsid w:val="00C752A9"/>
    <w:rsid w:val="00C94824"/>
    <w:rsid w:val="00CD4380"/>
    <w:rsid w:val="00D014C2"/>
    <w:rsid w:val="00D02023"/>
    <w:rsid w:val="00D372E2"/>
    <w:rsid w:val="00D4421B"/>
    <w:rsid w:val="00DA0857"/>
    <w:rsid w:val="00DE651A"/>
    <w:rsid w:val="00E55873"/>
    <w:rsid w:val="00E701DE"/>
    <w:rsid w:val="00EA3528"/>
    <w:rsid w:val="00EE6FB2"/>
    <w:rsid w:val="00F1613A"/>
    <w:rsid w:val="00F62F48"/>
    <w:rsid w:val="00F95A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8B3E6AF-BA59-4E19-B869-3CFC0FD1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151"/>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rsid w:val="008A7151"/>
    <w:pPr>
      <w:spacing w:after="120"/>
      <w:ind w:leftChars="200" w:left="480"/>
    </w:pPr>
    <w:rPr>
      <w:rFonts w:ascii="Times New Roman" w:eastAsia="標楷體" w:hAnsi="Times New Roman"/>
      <w:kern w:val="0"/>
      <w:sz w:val="16"/>
      <w:szCs w:val="16"/>
    </w:rPr>
  </w:style>
  <w:style w:type="character" w:customStyle="1" w:styleId="30">
    <w:name w:val="本文縮排 3 字元"/>
    <w:link w:val="3"/>
    <w:uiPriority w:val="99"/>
    <w:locked/>
    <w:rsid w:val="008A7151"/>
    <w:rPr>
      <w:rFonts w:ascii="Times New Roman" w:eastAsia="標楷體" w:hAnsi="Times New Roman" w:cs="Times New Roman"/>
      <w:kern w:val="0"/>
      <w:sz w:val="16"/>
      <w:szCs w:val="16"/>
    </w:rPr>
  </w:style>
  <w:style w:type="paragraph" w:styleId="a3">
    <w:name w:val="List Paragraph"/>
    <w:basedOn w:val="a"/>
    <w:uiPriority w:val="99"/>
    <w:qFormat/>
    <w:rsid w:val="008A7151"/>
    <w:pPr>
      <w:ind w:leftChars="200" w:left="480"/>
    </w:pPr>
    <w:rPr>
      <w:rFonts w:ascii="Times New Roman" w:eastAsia="標楷體" w:hAnsi="Times New Roman"/>
      <w:szCs w:val="20"/>
    </w:rPr>
  </w:style>
  <w:style w:type="character" w:styleId="a4">
    <w:name w:val="Emphasis"/>
    <w:uiPriority w:val="99"/>
    <w:qFormat/>
    <w:rsid w:val="008A7151"/>
    <w:rPr>
      <w:rFonts w:cs="Times New Roman"/>
      <w:i/>
      <w:iCs/>
    </w:rPr>
  </w:style>
  <w:style w:type="paragraph" w:styleId="HTML">
    <w:name w:val="HTML Preformatted"/>
    <w:basedOn w:val="a"/>
    <w:link w:val="HTML0"/>
    <w:uiPriority w:val="99"/>
    <w:rsid w:val="008A71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locked/>
    <w:rsid w:val="008A7151"/>
    <w:rPr>
      <w:rFonts w:ascii="細明體" w:eastAsia="細明體" w:hAnsi="細明體" w:cs="細明體"/>
      <w:kern w:val="0"/>
      <w:sz w:val="24"/>
      <w:szCs w:val="24"/>
    </w:rPr>
  </w:style>
  <w:style w:type="paragraph" w:styleId="a5">
    <w:name w:val="header"/>
    <w:basedOn w:val="a"/>
    <w:link w:val="a6"/>
    <w:uiPriority w:val="99"/>
    <w:semiHidden/>
    <w:rsid w:val="0095545D"/>
    <w:pPr>
      <w:tabs>
        <w:tab w:val="center" w:pos="4153"/>
        <w:tab w:val="right" w:pos="8306"/>
      </w:tabs>
      <w:snapToGrid w:val="0"/>
    </w:pPr>
    <w:rPr>
      <w:sz w:val="20"/>
      <w:szCs w:val="20"/>
    </w:rPr>
  </w:style>
  <w:style w:type="character" w:customStyle="1" w:styleId="a6">
    <w:name w:val="頁首 字元"/>
    <w:link w:val="a5"/>
    <w:uiPriority w:val="99"/>
    <w:semiHidden/>
    <w:locked/>
    <w:rsid w:val="0095545D"/>
    <w:rPr>
      <w:rFonts w:ascii="Calibri" w:eastAsia="新細明體" w:hAnsi="Calibri" w:cs="Times New Roman"/>
      <w:sz w:val="20"/>
      <w:szCs w:val="20"/>
    </w:rPr>
  </w:style>
  <w:style w:type="paragraph" w:styleId="a7">
    <w:name w:val="footer"/>
    <w:basedOn w:val="a"/>
    <w:link w:val="a8"/>
    <w:uiPriority w:val="99"/>
    <w:semiHidden/>
    <w:rsid w:val="0095545D"/>
    <w:pPr>
      <w:tabs>
        <w:tab w:val="center" w:pos="4153"/>
        <w:tab w:val="right" w:pos="8306"/>
      </w:tabs>
      <w:snapToGrid w:val="0"/>
    </w:pPr>
    <w:rPr>
      <w:sz w:val="20"/>
      <w:szCs w:val="20"/>
    </w:rPr>
  </w:style>
  <w:style w:type="character" w:customStyle="1" w:styleId="a8">
    <w:name w:val="頁尾 字元"/>
    <w:link w:val="a7"/>
    <w:uiPriority w:val="99"/>
    <w:semiHidden/>
    <w:locked/>
    <w:rsid w:val="0095545D"/>
    <w:rPr>
      <w:rFonts w:ascii="Calibri" w:eastAsia="新細明體" w:hAnsi="Calibri" w:cs="Times New Roman"/>
      <w:sz w:val="20"/>
      <w:szCs w:val="20"/>
    </w:rPr>
  </w:style>
  <w:style w:type="paragraph" w:styleId="a9">
    <w:name w:val="footnote text"/>
    <w:basedOn w:val="a"/>
    <w:link w:val="aa"/>
    <w:uiPriority w:val="99"/>
    <w:semiHidden/>
    <w:rsid w:val="009B6329"/>
    <w:pPr>
      <w:snapToGrid w:val="0"/>
    </w:pPr>
    <w:rPr>
      <w:sz w:val="20"/>
      <w:szCs w:val="20"/>
    </w:rPr>
  </w:style>
  <w:style w:type="character" w:customStyle="1" w:styleId="aa">
    <w:name w:val="註腳文字 字元"/>
    <w:link w:val="a9"/>
    <w:uiPriority w:val="99"/>
    <w:semiHidden/>
    <w:locked/>
    <w:rsid w:val="009B6329"/>
    <w:rPr>
      <w:rFonts w:ascii="Calibri" w:eastAsia="新細明體" w:hAnsi="Calibri" w:cs="Times New Roman"/>
      <w:sz w:val="20"/>
      <w:szCs w:val="20"/>
    </w:rPr>
  </w:style>
  <w:style w:type="character" w:styleId="ab">
    <w:name w:val="footnote reference"/>
    <w:uiPriority w:val="99"/>
    <w:semiHidden/>
    <w:rsid w:val="009B6329"/>
    <w:rPr>
      <w:rFonts w:cs="Times New Roman"/>
      <w:vertAlign w:val="superscript"/>
    </w:rPr>
  </w:style>
  <w:style w:type="paragraph" w:styleId="ac">
    <w:name w:val="Body Text Indent"/>
    <w:basedOn w:val="a"/>
    <w:link w:val="ad"/>
    <w:uiPriority w:val="99"/>
    <w:rsid w:val="009007D0"/>
    <w:pPr>
      <w:spacing w:after="120"/>
      <w:ind w:leftChars="200" w:left="480"/>
    </w:pPr>
  </w:style>
  <w:style w:type="character" w:customStyle="1" w:styleId="ad">
    <w:name w:val="本文縮排 字元"/>
    <w:link w:val="ac"/>
    <w:uiPriority w:val="99"/>
    <w:semiHidden/>
    <w:locked/>
    <w:rsid w:val="00095803"/>
    <w:rPr>
      <w:rFonts w:cs="Times New Roman"/>
    </w:rPr>
  </w:style>
  <w:style w:type="character" w:styleId="ae">
    <w:name w:val="Hyperlink"/>
    <w:uiPriority w:val="99"/>
    <w:rsid w:val="009007D0"/>
    <w:rPr>
      <w:rFonts w:cs="Times New Roman"/>
      <w:color w:val="0000FF"/>
      <w:u w:val="single"/>
    </w:rPr>
  </w:style>
  <w:style w:type="character" w:styleId="af">
    <w:name w:val="page number"/>
    <w:uiPriority w:val="99"/>
    <w:rsid w:val="001E230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387218">
      <w:bodyDiv w:val="1"/>
      <w:marLeft w:val="0"/>
      <w:marRight w:val="0"/>
      <w:marTop w:val="0"/>
      <w:marBottom w:val="0"/>
      <w:divBdr>
        <w:top w:val="none" w:sz="0" w:space="0" w:color="auto"/>
        <w:left w:val="none" w:sz="0" w:space="0" w:color="auto"/>
        <w:bottom w:val="none" w:sz="0" w:space="0" w:color="auto"/>
        <w:right w:val="none" w:sz="0" w:space="0" w:color="auto"/>
      </w:divBdr>
      <w:divsChild>
        <w:div w:id="417946328">
          <w:marLeft w:val="0"/>
          <w:marRight w:val="0"/>
          <w:marTop w:val="360"/>
          <w:marBottom w:val="0"/>
          <w:divBdr>
            <w:top w:val="none" w:sz="0" w:space="0" w:color="auto"/>
            <w:left w:val="none" w:sz="0" w:space="0" w:color="auto"/>
            <w:bottom w:val="none" w:sz="0" w:space="0" w:color="auto"/>
            <w:right w:val="none" w:sz="0" w:space="0" w:color="auto"/>
          </w:divBdr>
          <w:divsChild>
            <w:div w:id="2058581374">
              <w:marLeft w:val="0"/>
              <w:marRight w:val="0"/>
              <w:marTop w:val="0"/>
              <w:marBottom w:val="0"/>
              <w:divBdr>
                <w:top w:val="none" w:sz="0" w:space="0" w:color="auto"/>
                <w:left w:val="none" w:sz="0" w:space="0" w:color="auto"/>
                <w:bottom w:val="none" w:sz="0" w:space="0" w:color="auto"/>
                <w:right w:val="none" w:sz="0" w:space="0" w:color="auto"/>
              </w:divBdr>
              <w:divsChild>
                <w:div w:id="1276673604">
                  <w:marLeft w:val="0"/>
                  <w:marRight w:val="0"/>
                  <w:marTop w:val="0"/>
                  <w:marBottom w:val="0"/>
                  <w:divBdr>
                    <w:top w:val="none" w:sz="0" w:space="0" w:color="auto"/>
                    <w:left w:val="none" w:sz="0" w:space="0" w:color="auto"/>
                    <w:bottom w:val="none" w:sz="0" w:space="0" w:color="auto"/>
                    <w:right w:val="none" w:sz="0" w:space="0" w:color="auto"/>
                  </w:divBdr>
                </w:div>
                <w:div w:id="782462922">
                  <w:marLeft w:val="0"/>
                  <w:marRight w:val="0"/>
                  <w:marTop w:val="0"/>
                  <w:marBottom w:val="0"/>
                  <w:divBdr>
                    <w:top w:val="none" w:sz="0" w:space="0" w:color="auto"/>
                    <w:left w:val="none" w:sz="0" w:space="0" w:color="auto"/>
                    <w:bottom w:val="none" w:sz="0" w:space="0" w:color="auto"/>
                    <w:right w:val="none" w:sz="0" w:space="0" w:color="auto"/>
                  </w:divBdr>
                </w:div>
                <w:div w:id="1185316760">
                  <w:marLeft w:val="0"/>
                  <w:marRight w:val="0"/>
                  <w:marTop w:val="0"/>
                  <w:marBottom w:val="0"/>
                  <w:divBdr>
                    <w:top w:val="none" w:sz="0" w:space="0" w:color="auto"/>
                    <w:left w:val="none" w:sz="0" w:space="0" w:color="auto"/>
                    <w:bottom w:val="none" w:sz="0" w:space="0" w:color="auto"/>
                    <w:right w:val="none" w:sz="0" w:space="0" w:color="auto"/>
                  </w:divBdr>
                </w:div>
                <w:div w:id="131488396">
                  <w:marLeft w:val="0"/>
                  <w:marRight w:val="0"/>
                  <w:marTop w:val="0"/>
                  <w:marBottom w:val="0"/>
                  <w:divBdr>
                    <w:top w:val="none" w:sz="0" w:space="0" w:color="auto"/>
                    <w:left w:val="none" w:sz="0" w:space="0" w:color="auto"/>
                    <w:bottom w:val="none" w:sz="0" w:space="0" w:color="auto"/>
                    <w:right w:val="none" w:sz="0" w:space="0" w:color="auto"/>
                  </w:divBdr>
                </w:div>
                <w:div w:id="1332488005">
                  <w:marLeft w:val="0"/>
                  <w:marRight w:val="0"/>
                  <w:marTop w:val="0"/>
                  <w:marBottom w:val="0"/>
                  <w:divBdr>
                    <w:top w:val="none" w:sz="0" w:space="0" w:color="auto"/>
                    <w:left w:val="none" w:sz="0" w:space="0" w:color="auto"/>
                    <w:bottom w:val="none" w:sz="0" w:space="0" w:color="auto"/>
                    <w:right w:val="none" w:sz="0" w:space="0" w:color="auto"/>
                  </w:divBdr>
                </w:div>
                <w:div w:id="655766837">
                  <w:marLeft w:val="0"/>
                  <w:marRight w:val="0"/>
                  <w:marTop w:val="0"/>
                  <w:marBottom w:val="0"/>
                  <w:divBdr>
                    <w:top w:val="none" w:sz="0" w:space="0" w:color="auto"/>
                    <w:left w:val="none" w:sz="0" w:space="0" w:color="auto"/>
                    <w:bottom w:val="none" w:sz="0" w:space="0" w:color="auto"/>
                    <w:right w:val="none" w:sz="0" w:space="0" w:color="auto"/>
                  </w:divBdr>
                </w:div>
                <w:div w:id="1081834197">
                  <w:marLeft w:val="0"/>
                  <w:marRight w:val="0"/>
                  <w:marTop w:val="0"/>
                  <w:marBottom w:val="0"/>
                  <w:divBdr>
                    <w:top w:val="none" w:sz="0" w:space="0" w:color="auto"/>
                    <w:left w:val="none" w:sz="0" w:space="0" w:color="auto"/>
                    <w:bottom w:val="none" w:sz="0" w:space="0" w:color="auto"/>
                    <w:right w:val="none" w:sz="0" w:space="0" w:color="auto"/>
                  </w:divBdr>
                </w:div>
                <w:div w:id="1465268974">
                  <w:marLeft w:val="0"/>
                  <w:marRight w:val="0"/>
                  <w:marTop w:val="0"/>
                  <w:marBottom w:val="0"/>
                  <w:divBdr>
                    <w:top w:val="none" w:sz="0" w:space="0" w:color="auto"/>
                    <w:left w:val="none" w:sz="0" w:space="0" w:color="auto"/>
                    <w:bottom w:val="none" w:sz="0" w:space="0" w:color="auto"/>
                    <w:right w:val="none" w:sz="0" w:space="0" w:color="auto"/>
                  </w:divBdr>
                </w:div>
                <w:div w:id="16310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325</Words>
  <Characters>1858</Characters>
  <Application>Microsoft Office Word</Application>
  <DocSecurity>0</DocSecurity>
  <Lines>15</Lines>
  <Paragraphs>4</Paragraphs>
  <ScaleCrop>false</ScaleCrop>
  <Company>Your Company Name</Company>
  <LinksUpToDate>false</LinksUpToDate>
  <CharactersWithSpaces>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桃園縣高級中等以下學校身心障礙學生成績評量實施原則</dc:title>
  <dc:subject/>
  <dc:creator>Your User Name</dc:creator>
  <cp:keywords/>
  <dc:description/>
  <cp:lastModifiedBy>User</cp:lastModifiedBy>
  <cp:revision>13</cp:revision>
  <cp:lastPrinted>2015-05-14T08:17:00Z</cp:lastPrinted>
  <dcterms:created xsi:type="dcterms:W3CDTF">2015-03-03T07:16:00Z</dcterms:created>
  <dcterms:modified xsi:type="dcterms:W3CDTF">2019-09-17T07:03:00Z</dcterms:modified>
</cp:coreProperties>
</file>